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EC" w:rsidRDefault="009A0CEC" w:rsidP="009A0CEC">
      <w:pPr>
        <w:autoSpaceDE w:val="0"/>
        <w:autoSpaceDN w:val="0"/>
        <w:adjustRightInd w:val="0"/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Titel: Intervisie Triple P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091"/>
        <w:gridCol w:w="2323"/>
        <w:gridCol w:w="2521"/>
        <w:gridCol w:w="1100"/>
      </w:tblGrid>
      <w:tr w:rsidR="00E4535A" w:rsidRPr="00E4535A" w:rsidTr="000126F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donderdag 20 september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13:00- 15:00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Triple P intervisie Amstelland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Noorddamcentrum</w:t>
            </w:r>
            <w:proofErr w:type="spellEnd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Amstelveen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vergaderk</w:t>
            </w:r>
            <w:proofErr w:type="spellEnd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B</w:t>
            </w:r>
          </w:p>
        </w:tc>
      </w:tr>
      <w:tr w:rsidR="00E4535A" w:rsidRPr="00E4535A" w:rsidTr="00012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donderdag 4 oktober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15:00- 17:00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Triple P intervisie Amstelland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Noorddamcentrum</w:t>
            </w:r>
            <w:proofErr w:type="spellEnd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Amstelveen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Poelzaal</w:t>
            </w:r>
            <w:proofErr w:type="spellEnd"/>
          </w:p>
        </w:tc>
      </w:tr>
      <w:tr w:rsidR="00E4535A" w:rsidRPr="00E4535A" w:rsidTr="00012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maandag 17 december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15:00- 17:00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Triple P intervisie Amstelland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Noorddamcentrum</w:t>
            </w:r>
            <w:proofErr w:type="spellEnd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Amstelveen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vergaderk</w:t>
            </w:r>
            <w:proofErr w:type="spellEnd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B</w:t>
            </w:r>
          </w:p>
        </w:tc>
      </w:tr>
      <w:tr w:rsidR="00E4535A" w:rsidRPr="00E4535A" w:rsidTr="00012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donderdag 31 januari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15:00- 17:00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Triple P intervisie Amstelland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Noorddamcentrum</w:t>
            </w:r>
            <w:proofErr w:type="spellEnd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Amstelveen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5A" w:rsidRPr="00E4535A" w:rsidRDefault="00E4535A" w:rsidP="00E4535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E4535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Poelzaal</w:t>
            </w:r>
            <w:proofErr w:type="spellEnd"/>
          </w:p>
        </w:tc>
      </w:tr>
    </w:tbl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Docenten (beroep/functie/titel docent, waar werkzaam):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Margreet te Velde, pedagoog, trainer Triple P Nederland.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Carine Kielstra, pedagoog, hoofdtrainer Triple P Nederland.</w:t>
      </w:r>
    </w:p>
    <w:p w:rsidR="00E4535A" w:rsidRPr="00E4535A" w:rsidRDefault="009A0CEC" w:rsidP="00E4535A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</w:rPr>
        <w:t xml:space="preserve">Doelgroep: </w:t>
      </w:r>
      <w:r w:rsidR="00E4535A" w:rsidRPr="00E4535A">
        <w:rPr>
          <w:rFonts w:ascii="Arial" w:eastAsia="Times New Roman" w:hAnsi="Arial" w:cs="Arial"/>
          <w:sz w:val="20"/>
          <w:szCs w:val="20"/>
          <w:lang w:eastAsia="nl-NL"/>
        </w:rPr>
        <w:t>V 0-12 Triple P geschoold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Aantal deelnemers:</w:t>
      </w:r>
      <w:r>
        <w:rPr>
          <w:rFonts w:ascii="Arial" w:hAnsi="Arial" w:cs="Arial"/>
        </w:rPr>
        <w:t xml:space="preserve"> </w:t>
      </w:r>
      <w:r w:rsidR="00E4535A">
        <w:rPr>
          <w:rFonts w:ascii="Arial" w:hAnsi="Arial" w:cs="Arial"/>
        </w:rPr>
        <w:t>max 12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Korte inleiding: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Triple P is een </w:t>
      </w:r>
      <w:proofErr w:type="spellStart"/>
      <w:r>
        <w:rPr>
          <w:rFonts w:ascii="Arial" w:hAnsi="Arial" w:cs="Arial"/>
          <w:color w:val="000000"/>
        </w:rPr>
        <w:t>evidence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based</w:t>
      </w:r>
      <w:proofErr w:type="spellEnd"/>
      <w:r>
        <w:rPr>
          <w:rFonts w:ascii="Arial" w:hAnsi="Arial" w:cs="Arial"/>
          <w:color w:val="000000"/>
        </w:rPr>
        <w:t xml:space="preserve"> opvoedprogramma waarmee verpleegkundigen ouders ondersteunen bij de opvoeding. Een belangrijk onderdeel van de methodiek is de kwaliteit van uitvoering, deze wordt versterkt door middel van intervisie met geaccrediteerde Triple P trainers. In de intervisie wordt aandacht besteed aan programma-integriteit en het voor gezinnen op maat maken van het gestructureerde programma.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  <w:color w:val="FF0000"/>
        </w:rPr>
      </w:pP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Leerdoelen</w:t>
      </w:r>
      <w:r>
        <w:rPr>
          <w:rFonts w:ascii="Arial" w:hAnsi="Arial" w:cs="Arial"/>
          <w:b/>
          <w:bCs/>
        </w:rPr>
        <w:t>:</w:t>
      </w:r>
    </w:p>
    <w:p w:rsidR="009A0CEC" w:rsidRDefault="009A0CEC" w:rsidP="009A0CE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leerdoelen voor de deelnemende professionals (jeugdverpleegkundigen):</w:t>
      </w:r>
    </w:p>
    <w:p w:rsidR="009A0CEC" w:rsidRDefault="009A0CEC" w:rsidP="009A0CEC">
      <w:pPr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Stimuleren van kwalitatief hoogwaardige uitvoering van opvoedondersteuning middels Triple P, het Positief Pedagogisch Programma, op niveau 2. </w:t>
      </w:r>
    </w:p>
    <w:p w:rsidR="009A0CEC" w:rsidRDefault="009A0CEC" w:rsidP="009A0CEC">
      <w:pPr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Versterken van competenties en vaardigheden. </w:t>
      </w:r>
    </w:p>
    <w:p w:rsidR="009A0CEC" w:rsidRDefault="009A0CEC" w:rsidP="009A0CEC">
      <w:p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Stimuleren om de sterke punten en eventuele problemen in de uitvoering van het programma herkennen.</w:t>
      </w:r>
    </w:p>
    <w:p w:rsidR="009A0CEC" w:rsidRDefault="009A0CEC" w:rsidP="009A0CEC">
      <w:p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Stimuleren om actieve ‘probleemoplossers’ te worden, eventueel met gebruik van hulpbronnen.</w:t>
      </w:r>
    </w:p>
    <w:p w:rsidR="009A0CEC" w:rsidRDefault="009A0CEC" w:rsidP="009A0CEC">
      <w:p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Stimuleren om het probleem zelf op te lossen door het geven van minimale feedback (het principe van ‘minimale </w:t>
      </w:r>
      <w:proofErr w:type="spellStart"/>
      <w:r>
        <w:rPr>
          <w:rFonts w:ascii="Arial" w:hAnsi="Arial" w:cs="Arial"/>
          <w:sz w:val="20"/>
          <w:szCs w:val="20"/>
        </w:rPr>
        <w:t>toereikendheid</w:t>
      </w:r>
      <w:proofErr w:type="spellEnd"/>
      <w:r>
        <w:rPr>
          <w:rFonts w:ascii="Arial" w:hAnsi="Arial" w:cs="Arial"/>
          <w:sz w:val="20"/>
          <w:szCs w:val="20"/>
        </w:rPr>
        <w:t xml:space="preserve">’) waarbij net genoeg hulp (bijv. in de vorm van hints) wordt geboden en niet meer dan nodig. </w:t>
      </w:r>
    </w:p>
    <w:p w:rsidR="009A0CEC" w:rsidRDefault="009A0CEC" w:rsidP="009A0CEC">
      <w:pPr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Vergroten van zelfregulatie, reflectie, onafhankelijke besluitvorming en zelfstandig leren </w:t>
      </w:r>
    </w:p>
    <w:p w:rsidR="009A0CEC" w:rsidRDefault="009A0CEC" w:rsidP="009A0CEC">
      <w:pPr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Verbeteren van de onderlinge samenwerking (en eventueel met andere organisaties in het netwerk) </w:t>
      </w:r>
    </w:p>
    <w:p w:rsidR="009A0CEC" w:rsidRDefault="009A0CEC" w:rsidP="009A0CEC">
      <w:pPr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Aantal uren scholing (dit is excl. pauze):</w:t>
      </w:r>
      <w:r>
        <w:rPr>
          <w:rFonts w:ascii="Arial" w:hAnsi="Arial" w:cs="Arial"/>
        </w:rPr>
        <w:t xml:space="preserve"> 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Programma </w:t>
      </w:r>
      <w:r>
        <w:rPr>
          <w:rFonts w:ascii="Arial" w:hAnsi="Arial" w:cs="Arial"/>
          <w:b/>
          <w:bCs/>
          <w:color w:val="FF0000"/>
        </w:rPr>
        <w:t>(met tijden en onderwerpen</w:t>
      </w:r>
      <w:r>
        <w:rPr>
          <w:rFonts w:ascii="Arial" w:hAnsi="Arial" w:cs="Arial"/>
          <w:b/>
          <w:bCs/>
        </w:rPr>
        <w:t xml:space="preserve">): 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Bijeenkomst 1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13.00 - 13.15 uur inventarisatie leerdoelen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13.15 - 14.00 uur opfris theorie Triple P: </w:t>
      </w:r>
    </w:p>
    <w:p w:rsidR="009A0CEC" w:rsidRDefault="009A0CEC" w:rsidP="009A0C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Overzicht Triple P kort adviesgesprek</w:t>
      </w:r>
    </w:p>
    <w:p w:rsidR="009A0CEC" w:rsidRDefault="009A0CEC" w:rsidP="009A0C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Sessie 1 Triple P kort adviesgesprek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14.00 - 14.30 uur oefenen aan de hand van cases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14.30 - 14.45 uur tipsheets lezen en strategieën selecteren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14.45 - 15.00 uur formuleren leerdoelen komende maanden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Bijeenkomst 2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15.00 - 15.15 uur inventarisatie leerdoelen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15.15 - 16.00 uur opfris theorie Triple P:</w:t>
      </w:r>
    </w:p>
    <w:p w:rsidR="009A0CEC" w:rsidRDefault="009A0CEC" w:rsidP="009A0C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Overzicht bespreken van een tipsheet</w:t>
      </w:r>
    </w:p>
    <w:p w:rsidR="009A0CEC" w:rsidRDefault="009A0CEC" w:rsidP="009A0C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Overzicht sessie 2 Triple P kort adviesgesprek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16.00 - 16.45 uur oefenen aan de hand van cases 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16.45 - 17.00 uur formuleren leerdoelen komende maanden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Op welke theorie is de scholing gebaseerd: 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Triple P, deze methodiek is gebaseerd op de volgende theorieën: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Leertheorie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Cognitieve sociale leertheorie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Ontwikkelingsonderzoek naar sociale competentie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Onderzoek naar risico-en beschermende factoren.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Volgesgezondheid</w:t>
      </w:r>
      <w:proofErr w:type="spellEnd"/>
      <w:r>
        <w:rPr>
          <w:rFonts w:ascii="Arial" w:hAnsi="Arial" w:cs="Arial"/>
          <w:color w:val="000000"/>
        </w:rPr>
        <w:t xml:space="preserve"> en sociale psychologie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Wordt er Theorie op papier uitgedeeld: nee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Toelichting op het programma:</w:t>
      </w:r>
    </w:p>
    <w:p w:rsidR="009A0CEC" w:rsidRDefault="009A0CEC" w:rsidP="009A0CEC">
      <w:pPr>
        <w:autoSpaceDE w:val="0"/>
        <w:autoSpaceDN w:val="0"/>
        <w:adjustRightInd w:val="0"/>
        <w:spacing w:line="137" w:lineRule="atLeast"/>
        <w:rPr>
          <w:rFonts w:ascii="Arial" w:hAnsi="Arial" w:cs="Arial"/>
          <w:b/>
          <w:bCs/>
          <w:color w:val="2C2728"/>
          <w:sz w:val="20"/>
          <w:szCs w:val="20"/>
        </w:rPr>
      </w:pPr>
      <w:r>
        <w:rPr>
          <w:rFonts w:ascii="Arial" w:hAnsi="Arial" w:cs="Arial"/>
          <w:b/>
          <w:bCs/>
          <w:color w:val="2C2728"/>
          <w:sz w:val="20"/>
          <w:szCs w:val="20"/>
        </w:rPr>
        <w:t>Kernactiviteiten: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:rsidR="009A0CEC" w:rsidRDefault="009A0CEC" w:rsidP="009A0CEC">
      <w:pPr>
        <w:autoSpaceDE w:val="0"/>
        <w:autoSpaceDN w:val="0"/>
        <w:adjustRightInd w:val="0"/>
        <w:spacing w:line="137" w:lineRule="atLeast"/>
        <w:ind w:left="420" w:hanging="210"/>
        <w:rPr>
          <w:rFonts w:ascii="Arial" w:hAnsi="Arial" w:cs="Arial"/>
          <w:color w:val="2C2728"/>
          <w:sz w:val="20"/>
          <w:szCs w:val="20"/>
        </w:rPr>
      </w:pPr>
      <w:r>
        <w:rPr>
          <w:rFonts w:ascii="Arial" w:hAnsi="Arial" w:cs="Arial"/>
          <w:color w:val="00BCF2"/>
          <w:sz w:val="20"/>
          <w:szCs w:val="20"/>
        </w:rPr>
        <w:t xml:space="preserve">– </w:t>
      </w:r>
      <w:r>
        <w:rPr>
          <w:rFonts w:ascii="Arial" w:hAnsi="Arial" w:cs="Arial"/>
          <w:color w:val="2C2728"/>
          <w:sz w:val="20"/>
          <w:szCs w:val="20"/>
        </w:rPr>
        <w:t xml:space="preserve">Casusbespreking –de persoonlijke uitvoering van Triple P op niveau 2 behandelen door een (ingebrachte) casus te bespreken, aan de hand van meegenomen videobeelden, geluidsopnamen of casusaantekeningen. </w:t>
      </w:r>
    </w:p>
    <w:p w:rsidR="009A0CEC" w:rsidRDefault="009A0CEC" w:rsidP="009A0CEC">
      <w:pPr>
        <w:autoSpaceDE w:val="0"/>
        <w:autoSpaceDN w:val="0"/>
        <w:adjustRightInd w:val="0"/>
        <w:spacing w:line="137" w:lineRule="atLeast"/>
        <w:ind w:left="420" w:hanging="210"/>
        <w:rPr>
          <w:rFonts w:ascii="Arial" w:hAnsi="Arial" w:cs="Arial"/>
          <w:color w:val="2C2728"/>
          <w:sz w:val="20"/>
          <w:szCs w:val="20"/>
        </w:rPr>
      </w:pPr>
      <w:r>
        <w:rPr>
          <w:rFonts w:ascii="Arial" w:hAnsi="Arial" w:cs="Arial"/>
          <w:color w:val="00BCF2"/>
          <w:sz w:val="20"/>
          <w:szCs w:val="20"/>
        </w:rPr>
        <w:t xml:space="preserve">– </w:t>
      </w:r>
      <w:r>
        <w:rPr>
          <w:rFonts w:ascii="Arial" w:hAnsi="Arial" w:cs="Arial"/>
          <w:color w:val="2C2728"/>
          <w:sz w:val="20"/>
          <w:szCs w:val="20"/>
        </w:rPr>
        <w:t>Bespreking van een uitvoeringsprobleem – een persoonlijk ervaren probleem analyseren aan de hand van het zelfregulerende model.</w:t>
      </w:r>
      <w:r>
        <w:rPr>
          <w:rFonts w:ascii="Arial" w:hAnsi="Arial" w:cs="Arial"/>
          <w:sz w:val="20"/>
          <w:szCs w:val="20"/>
        </w:rPr>
        <w:t> </w:t>
      </w:r>
    </w:p>
    <w:p w:rsidR="009A0CEC" w:rsidRDefault="009A0CEC" w:rsidP="009A0CEC">
      <w:pPr>
        <w:autoSpaceDE w:val="0"/>
        <w:autoSpaceDN w:val="0"/>
        <w:adjustRightInd w:val="0"/>
        <w:spacing w:line="137" w:lineRule="atLeast"/>
        <w:ind w:left="420" w:hanging="210"/>
        <w:rPr>
          <w:rFonts w:ascii="Arial" w:hAnsi="Arial" w:cs="Arial"/>
          <w:color w:val="2C2728"/>
          <w:sz w:val="20"/>
          <w:szCs w:val="20"/>
        </w:rPr>
      </w:pPr>
      <w:r>
        <w:rPr>
          <w:rFonts w:ascii="Arial" w:hAnsi="Arial" w:cs="Arial"/>
          <w:color w:val="00BCF2"/>
          <w:sz w:val="20"/>
          <w:szCs w:val="20"/>
        </w:rPr>
        <w:t xml:space="preserve">– </w:t>
      </w:r>
      <w:r>
        <w:rPr>
          <w:rFonts w:ascii="Arial" w:hAnsi="Arial" w:cs="Arial"/>
          <w:color w:val="2C2728"/>
          <w:sz w:val="20"/>
          <w:szCs w:val="20"/>
        </w:rPr>
        <w:t>Activiteit voor professionele ontwikkeling – middels uiteenlopende onderdelen verdieping van de methodiek, zoals het bespreken van een Triple P tipsheet of een relevant wetenschappelijk artikel. Bijvoorbeeld over het gebruik van Triple P-vragenlijsten bij laaggeletterde ouders, het overeind houden van programma-integriteit, flexibele toepassing van Triple P, het betrekken van moeilijk bereikbare gezinnen, het betrekken van tieners bij de interventie of culturele diversiteit.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Voorbereiding: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A0CEC" w:rsidRDefault="009A0CEC" w:rsidP="009A0CEC">
      <w:pPr>
        <w:autoSpaceDE w:val="0"/>
        <w:autoSpaceDN w:val="0"/>
        <w:adjustRightInd w:val="0"/>
        <w:spacing w:after="280"/>
        <w:rPr>
          <w:rFonts w:ascii="Corbel" w:hAnsi="Corbel" w:cs="Corbel"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Aangeven welke competenties </w:t>
      </w:r>
      <w:r>
        <w:rPr>
          <w:rFonts w:ascii="Arial" w:hAnsi="Arial" w:cs="Arial"/>
          <w:sz w:val="21"/>
          <w:szCs w:val="21"/>
        </w:rPr>
        <w:t>uit de volgende lijst (</w:t>
      </w:r>
      <w:r>
        <w:rPr>
          <w:rFonts w:ascii="Arial" w:hAnsi="Arial" w:cs="Arial"/>
          <w:color w:val="FF0000"/>
          <w:sz w:val="21"/>
          <w:szCs w:val="21"/>
        </w:rPr>
        <w:t>min 1 en max 3)</w:t>
      </w:r>
      <w:r>
        <w:rPr>
          <w:rFonts w:ascii="Arial" w:hAnsi="Arial" w:cs="Arial"/>
          <w:sz w:val="21"/>
          <w:szCs w:val="21"/>
        </w:rPr>
        <w:t xml:space="preserve"> van toepassing zijn en voor welk </w:t>
      </w:r>
      <w:r>
        <w:rPr>
          <w:rFonts w:ascii="Arial" w:hAnsi="Arial" w:cs="Arial"/>
          <w:sz w:val="22"/>
          <w:szCs w:val="22"/>
        </w:rPr>
        <w:t xml:space="preserve">percentage </w:t>
      </w:r>
      <w:r>
        <w:rPr>
          <w:rFonts w:ascii="Arial" w:hAnsi="Arial" w:cs="Arial"/>
          <w:color w:val="FF0000"/>
          <w:sz w:val="22"/>
          <w:szCs w:val="22"/>
        </w:rPr>
        <w:t>(in percentages van 20/40 of 60 %--&gt; som</w:t>
      </w:r>
      <w:r>
        <w:rPr>
          <w:rFonts w:ascii="Arial" w:hAnsi="Arial" w:cs="Arial"/>
          <w:color w:val="FF0000"/>
          <w:sz w:val="21"/>
          <w:szCs w:val="21"/>
        </w:rPr>
        <w:t xml:space="preserve">  moet 100 % zijn</w:t>
      </w:r>
      <w:r>
        <w:rPr>
          <w:rFonts w:ascii="Corbel" w:hAnsi="Corbel" w:cs="Corbel"/>
          <w:color w:val="FF0000"/>
          <w:sz w:val="21"/>
          <w:szCs w:val="21"/>
        </w:rPr>
        <w:t xml:space="preserve">)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9A0CE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9A0CEC" w:rsidRDefault="009A0C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Competenties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0CEC" w:rsidRDefault="009A0C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9A0CEC" w:rsidRDefault="009A0C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Medisch handelen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Pr="000126F9" w:rsidRDefault="000126F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0126F9">
              <w:rPr>
                <w:sz w:val="22"/>
                <w:szCs w:val="22"/>
              </w:rPr>
              <w:t> 20</w:t>
            </w:r>
          </w:p>
        </w:tc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Samenwerking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Pr="000126F9" w:rsidRDefault="000126F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0126F9">
              <w:rPr>
                <w:sz w:val="22"/>
                <w:szCs w:val="22"/>
              </w:rPr>
              <w:t> </w:t>
            </w:r>
          </w:p>
        </w:tc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Organisatie en Financiering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Pr="000126F9" w:rsidRDefault="000126F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0126F9">
              <w:rPr>
                <w:sz w:val="22"/>
                <w:szCs w:val="22"/>
              </w:rPr>
              <w:t> </w:t>
            </w:r>
          </w:p>
        </w:tc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Maatschappelijk handelen en preventie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Pr="000126F9" w:rsidRDefault="000126F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0126F9">
              <w:rPr>
                <w:sz w:val="22"/>
                <w:szCs w:val="22"/>
              </w:rPr>
              <w:t> 40</w:t>
            </w:r>
          </w:p>
        </w:tc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Kennis en wetenschap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Pr="000126F9" w:rsidRDefault="000126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26F9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Professionaliteit en kwaliteit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26F9" w:rsidRDefault="000126F9">
            <w:p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20%, 40%, 60%,80% of 100%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26F9" w:rsidRPr="000126F9" w:rsidRDefault="000126F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0126F9">
              <w:rPr>
                <w:sz w:val="22"/>
                <w:szCs w:val="22"/>
              </w:rPr>
              <w:t>40</w:t>
            </w:r>
          </w:p>
        </w:tc>
      </w:tr>
      <w:tr w:rsidR="009A0CEC">
        <w:tc>
          <w:tcPr>
            <w:tcW w:w="298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9A0CEC" w:rsidRDefault="009A0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Totaal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9A0CEC" w:rsidRDefault="009A0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28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9A0CEC" w:rsidRDefault="009A0CE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Programma- en organisatiecommissie</w:t>
      </w:r>
      <w:r>
        <w:rPr>
          <w:rFonts w:ascii="Arial" w:hAnsi="Arial" w:cs="Arial"/>
        </w:rPr>
        <w:t>: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Website KNMG</w:t>
      </w:r>
      <w:r>
        <w:rPr>
          <w:rFonts w:ascii="Arial" w:hAnsi="Arial" w:cs="Arial"/>
        </w:rPr>
        <w:t>: nee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Gesubsidieerd</w:t>
      </w:r>
      <w:r>
        <w:rPr>
          <w:rFonts w:ascii="Arial" w:hAnsi="Arial" w:cs="Arial"/>
        </w:rPr>
        <w:t>: nee</w:t>
      </w:r>
    </w:p>
    <w:p w:rsidR="009A0CEC" w:rsidRDefault="009A0CEC" w:rsidP="009A0C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Voor scholing wordt vergoeding gevraagd</w:t>
      </w:r>
      <w:r>
        <w:rPr>
          <w:rFonts w:ascii="Arial" w:hAnsi="Arial" w:cs="Arial"/>
        </w:rPr>
        <w:t>: nee</w:t>
      </w:r>
    </w:p>
    <w:p w:rsidR="00107860" w:rsidRDefault="005C5DEE"/>
    <w:sectPr w:rsidR="00107860" w:rsidSect="002F54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EC"/>
    <w:rsid w:val="000126F9"/>
    <w:rsid w:val="002C44F4"/>
    <w:rsid w:val="003A7FF1"/>
    <w:rsid w:val="005C5557"/>
    <w:rsid w:val="00881F2F"/>
    <w:rsid w:val="009A0CEC"/>
    <w:rsid w:val="00B16FC5"/>
    <w:rsid w:val="00C21734"/>
    <w:rsid w:val="00CE5C57"/>
    <w:rsid w:val="00E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kielstra</dc:creator>
  <cp:lastModifiedBy>Gödecke, Sandra</cp:lastModifiedBy>
  <cp:revision>2</cp:revision>
  <dcterms:created xsi:type="dcterms:W3CDTF">2018-09-13T13:35:00Z</dcterms:created>
  <dcterms:modified xsi:type="dcterms:W3CDTF">2018-09-13T13:35:00Z</dcterms:modified>
</cp:coreProperties>
</file>